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89" w:rsidRDefault="00984858" w:rsidP="007F6789">
      <w:pPr>
        <w:rPr>
          <w:rFonts w:cstheme="minorHAnsi"/>
          <w:color w:val="000000"/>
          <w:szCs w:val="22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0388380C" wp14:editId="1BDAE8B2">
            <wp:simplePos x="0" y="0"/>
            <wp:positionH relativeFrom="page">
              <wp:align>left</wp:align>
            </wp:positionH>
            <wp:positionV relativeFrom="paragraph">
              <wp:posOffset>-889635</wp:posOffset>
            </wp:positionV>
            <wp:extent cx="7802088" cy="10032630"/>
            <wp:effectExtent l="0" t="0" r="8890" b="6985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088" cy="1003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ACA2A" wp14:editId="604A88BE">
                <wp:simplePos x="0" y="0"/>
                <wp:positionH relativeFrom="column">
                  <wp:posOffset>4186555</wp:posOffset>
                </wp:positionH>
                <wp:positionV relativeFrom="paragraph">
                  <wp:posOffset>118110</wp:posOffset>
                </wp:positionV>
                <wp:extent cx="7801610" cy="1003236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1610" cy="1003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4858" w:rsidRPr="00984858" w:rsidRDefault="00984858" w:rsidP="00984858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ANEXOS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9ACA2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29.65pt;margin-top:9.3pt;width:614.3pt;height:789.9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" filled="f" stroked="f">
                <v:fill o:detectmouseclick="t"/>
                <v:textbox style="mso-fit-shape-to-text:t">
                  <w:txbxContent>
                    <w:p w:rsidR="00984858" w:rsidRPr="00984858" w:rsidRDefault="00984858" w:rsidP="00984858">
                      <w:pPr>
                        <w:jc w:val="center"/>
                        <w:rPr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984858" w:rsidRDefault="00984858" w:rsidP="007F6789">
      <w:pPr>
        <w:rPr>
          <w:rFonts w:cstheme="minorHAnsi"/>
          <w:color w:val="000000"/>
          <w:szCs w:val="22"/>
        </w:rPr>
      </w:pPr>
    </w:p>
    <w:p w:rsidR="007F6789" w:rsidRPr="00984858" w:rsidRDefault="00984858" w:rsidP="00984858">
      <w:pPr>
        <w:pStyle w:val="Ttulo1"/>
        <w:jc w:val="center"/>
        <w:rPr>
          <w:rFonts w:eastAsia="MS Mincho"/>
        </w:rPr>
      </w:pPr>
      <w:bookmarkStart w:id="0" w:name="_Toc91674814"/>
      <w:bookmarkStart w:id="1" w:name="_Toc107395606"/>
      <w:r w:rsidRPr="00984858">
        <w:rPr>
          <w:rFonts w:eastAsia="MS Mincho"/>
        </w:rPr>
        <w:lastRenderedPageBreak/>
        <w:t>ANEXO 1. DEFINICIONES</w:t>
      </w:r>
      <w:bookmarkEnd w:id="0"/>
      <w:bookmarkEnd w:id="1"/>
    </w:p>
    <w:p w:rsidR="007F6789" w:rsidRPr="003F7630" w:rsidRDefault="007F6789" w:rsidP="007F6789">
      <w:pPr>
        <w:rPr>
          <w:rFonts w:cstheme="minorHAnsi"/>
          <w:color w:val="000000"/>
          <w:szCs w:val="22"/>
        </w:rPr>
      </w:pPr>
    </w:p>
    <w:p w:rsidR="007F6789" w:rsidRPr="003F7630" w:rsidRDefault="007F6789" w:rsidP="007F6789">
      <w:pPr>
        <w:tabs>
          <w:tab w:val="left" w:pos="426"/>
          <w:tab w:val="left" w:pos="993"/>
        </w:tabs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  <w:u w:val="single"/>
        </w:rPr>
        <w:t>Amenaza</w:t>
      </w:r>
      <w:r w:rsidRPr="003F7630">
        <w:rPr>
          <w:rFonts w:cstheme="minorHAnsi"/>
          <w:color w:val="000000"/>
          <w:szCs w:val="22"/>
        </w:rPr>
        <w:t xml:space="preserve">: </w:t>
      </w:r>
      <w:r w:rsidRPr="00611A4D">
        <w:t>Peligro latente de que un evento físico de origen natural, o causado, o inducido por la acción humana de manera accidental, se presente con una severidad suficiente para causar pérdida de vidas, lesiones u otros impactos en la s</w:t>
      </w:r>
      <w:bookmarkStart w:id="2" w:name="_GoBack"/>
      <w:bookmarkEnd w:id="2"/>
      <w:r w:rsidRPr="00611A4D">
        <w:t>alud, así como también daños y pérdidas en los bienes, la infraestructura, los medios de sustento, la prestación de servicios y los recursos ambientales.</w:t>
      </w:r>
      <w:r>
        <w:rPr>
          <w:rFonts w:cstheme="minorHAnsi"/>
          <w:color w:val="000000"/>
          <w:szCs w:val="22"/>
        </w:rPr>
        <w:t xml:space="preserve"> (Numeral 3</w:t>
      </w:r>
      <w:r w:rsidRPr="003F7630">
        <w:rPr>
          <w:rFonts w:cstheme="minorHAnsi"/>
          <w:color w:val="000000"/>
          <w:szCs w:val="22"/>
        </w:rPr>
        <w:t xml:space="preserve"> del artículo 4 de la Ley 1523/12).</w:t>
      </w:r>
    </w:p>
    <w:p w:rsidR="007F6789" w:rsidRDefault="007F6789" w:rsidP="007F6789">
      <w:pPr>
        <w:tabs>
          <w:tab w:val="left" w:pos="426"/>
          <w:tab w:val="left" w:pos="993"/>
        </w:tabs>
        <w:rPr>
          <w:rFonts w:cstheme="minorHAnsi"/>
          <w:color w:val="000000"/>
          <w:szCs w:val="22"/>
          <w:u w:val="single"/>
        </w:rPr>
      </w:pPr>
    </w:p>
    <w:p w:rsidR="007F6789" w:rsidRPr="003F7630" w:rsidRDefault="007F6789" w:rsidP="007F6789">
      <w:pPr>
        <w:tabs>
          <w:tab w:val="left" w:pos="426"/>
          <w:tab w:val="left" w:pos="993"/>
        </w:tabs>
        <w:rPr>
          <w:rFonts w:cstheme="minorHAnsi"/>
          <w:color w:val="000000"/>
          <w:szCs w:val="22"/>
        </w:rPr>
      </w:pPr>
      <w:r w:rsidRPr="003F7630">
        <w:rPr>
          <w:rFonts w:cstheme="minorHAnsi"/>
          <w:color w:val="000000"/>
          <w:szCs w:val="22"/>
          <w:u w:val="single"/>
        </w:rPr>
        <w:t>Conocimiento del riesgo</w:t>
      </w:r>
      <w:r w:rsidRPr="003F7630">
        <w:rPr>
          <w:rFonts w:cstheme="minorHAnsi"/>
          <w:color w:val="000000"/>
          <w:szCs w:val="22"/>
        </w:rPr>
        <w:t>: es el proceso de la gestión del riesgo compuesto por la identificación de escenarios de riesgo, el análisis y evaluación del riesgo, el monitoreo y seguimiento del riesgo y sus componentes y la comunicación para promover una mayor conciencia del mismo que alimenta los procesos de reducción del riesgo y de manejo de desastre. (Numeral 7 del artículo 4 de la Ley 1523/12).</w:t>
      </w:r>
    </w:p>
    <w:p w:rsidR="007F6789" w:rsidRPr="003F7630" w:rsidRDefault="007F6789" w:rsidP="007F6789">
      <w:pPr>
        <w:widowControl w:val="0"/>
        <w:tabs>
          <w:tab w:val="left" w:pos="426"/>
          <w:tab w:val="left" w:pos="993"/>
        </w:tabs>
        <w:rPr>
          <w:rFonts w:cstheme="minorHAnsi"/>
          <w:color w:val="000000"/>
          <w:szCs w:val="22"/>
          <w:u w:val="single"/>
        </w:rPr>
      </w:pPr>
    </w:p>
    <w:p w:rsidR="007F6789" w:rsidRPr="003F7630" w:rsidRDefault="007F6789" w:rsidP="007F6789">
      <w:pPr>
        <w:widowControl w:val="0"/>
        <w:tabs>
          <w:tab w:val="left" w:pos="426"/>
          <w:tab w:val="left" w:pos="993"/>
        </w:tabs>
        <w:rPr>
          <w:rFonts w:cstheme="minorHAnsi"/>
          <w:color w:val="000000"/>
          <w:szCs w:val="22"/>
          <w:u w:val="single"/>
        </w:rPr>
      </w:pPr>
      <w:r w:rsidRPr="003F7630">
        <w:rPr>
          <w:rFonts w:cstheme="minorHAnsi"/>
          <w:color w:val="000000"/>
          <w:szCs w:val="22"/>
          <w:u w:val="single"/>
        </w:rPr>
        <w:t xml:space="preserve">Emergencia: </w:t>
      </w:r>
      <w:r w:rsidRPr="003F7630">
        <w:rPr>
          <w:rFonts w:cstheme="minorHAnsi"/>
          <w:color w:val="000000"/>
          <w:szCs w:val="22"/>
        </w:rPr>
        <w:t>situación caracterizada por la alteración o interrupción intensa y grave de las condiciones normales de funcionamiento u operación de una comunidad, causada por un evento adverso o por la inminencia del mismo, que obliga a una reacción inmediata y que requiere la respuesta de las instituciones del Estado, los medios de comunicación y de la comunidad en general (Numeral 9 del artículo 4 de la Ley 1523/12).</w:t>
      </w:r>
    </w:p>
    <w:p w:rsidR="007F6789" w:rsidRPr="003F7630" w:rsidRDefault="007F6789" w:rsidP="007F6789">
      <w:pPr>
        <w:widowControl w:val="0"/>
        <w:tabs>
          <w:tab w:val="left" w:pos="426"/>
          <w:tab w:val="left" w:pos="993"/>
        </w:tabs>
        <w:rPr>
          <w:rFonts w:cstheme="minorHAnsi"/>
          <w:color w:val="000000"/>
          <w:szCs w:val="22"/>
          <w:u w:val="single"/>
        </w:rPr>
      </w:pPr>
    </w:p>
    <w:p w:rsidR="007F6789" w:rsidRPr="003F7630" w:rsidRDefault="007F6789" w:rsidP="007F6789">
      <w:pPr>
        <w:widowControl w:val="0"/>
        <w:tabs>
          <w:tab w:val="left" w:pos="426"/>
          <w:tab w:val="left" w:pos="993"/>
        </w:tabs>
        <w:rPr>
          <w:rFonts w:cstheme="minorHAnsi"/>
          <w:color w:val="000000"/>
          <w:szCs w:val="22"/>
        </w:rPr>
      </w:pPr>
      <w:r w:rsidRPr="003F7630">
        <w:rPr>
          <w:rFonts w:cstheme="minorHAnsi"/>
          <w:color w:val="000000"/>
          <w:szCs w:val="22"/>
          <w:u w:val="single"/>
        </w:rPr>
        <w:t xml:space="preserve">Funciones de respuesta: </w:t>
      </w:r>
      <w:r w:rsidRPr="003F7630">
        <w:rPr>
          <w:rFonts w:cstheme="minorHAnsi"/>
          <w:color w:val="000000"/>
          <w:szCs w:val="22"/>
        </w:rPr>
        <w:t>son aquellas que permiten optimizar la prestación, la organización y la coordinación de los servicios de respuesta. (Instituto Distrital de Gestión de Riesgos y Cambio Climático - IDIGER, 2017).</w:t>
      </w:r>
    </w:p>
    <w:p w:rsidR="007F6789" w:rsidRPr="003F7630" w:rsidRDefault="007F6789" w:rsidP="007F6789">
      <w:pPr>
        <w:widowControl w:val="0"/>
        <w:tabs>
          <w:tab w:val="left" w:pos="426"/>
          <w:tab w:val="left" w:pos="993"/>
        </w:tabs>
        <w:rPr>
          <w:rFonts w:cstheme="minorHAnsi"/>
          <w:color w:val="000000"/>
          <w:szCs w:val="22"/>
          <w:u w:val="single"/>
        </w:rPr>
      </w:pPr>
    </w:p>
    <w:p w:rsidR="007F6789" w:rsidRPr="003F7630" w:rsidRDefault="007F6789" w:rsidP="007F6789">
      <w:pPr>
        <w:widowControl w:val="0"/>
        <w:tabs>
          <w:tab w:val="left" w:pos="426"/>
          <w:tab w:val="left" w:pos="993"/>
        </w:tabs>
        <w:rPr>
          <w:rFonts w:cstheme="minorHAnsi"/>
          <w:color w:val="000000"/>
          <w:szCs w:val="22"/>
        </w:rPr>
      </w:pPr>
      <w:r w:rsidRPr="003F7630">
        <w:rPr>
          <w:rFonts w:cstheme="minorHAnsi"/>
          <w:color w:val="000000"/>
          <w:szCs w:val="22"/>
          <w:u w:val="single"/>
        </w:rPr>
        <w:t>Gestión del riesgo:</w:t>
      </w:r>
      <w:r w:rsidRPr="003F7630">
        <w:rPr>
          <w:rFonts w:cstheme="minorHAnsi"/>
          <w:color w:val="000000"/>
          <w:szCs w:val="22"/>
        </w:rPr>
        <w:t xml:space="preserve"> es el proceso social de planeación, ejecución, seguimiento y evaluación de políticas y acciones permanentes para el conocimiento del riesgo y promoción de una mayor conciencia del mismo, impedir o evitar que se genere, reducirlo o controlarlo cuando ya existe y para prepararse y manejar las situaciones de desastre, así como para la posterior recuperación, entiéndase: </w:t>
      </w:r>
      <w:proofErr w:type="spellStart"/>
      <w:r w:rsidRPr="003F7630">
        <w:rPr>
          <w:rFonts w:cstheme="minorHAnsi"/>
          <w:color w:val="000000"/>
          <w:szCs w:val="22"/>
        </w:rPr>
        <w:t>reh</w:t>
      </w:r>
      <w:proofErr w:type="spellEnd"/>
      <w:r>
        <w:rPr>
          <w:rFonts w:cstheme="minorHAnsi"/>
          <w:color w:val="000000"/>
          <w:szCs w:val="22"/>
        </w:rPr>
        <w:tab/>
      </w:r>
      <w:proofErr w:type="spellStart"/>
      <w:r w:rsidRPr="003F7630">
        <w:rPr>
          <w:rFonts w:cstheme="minorHAnsi"/>
          <w:color w:val="000000"/>
          <w:szCs w:val="22"/>
        </w:rPr>
        <w:t>abilitación</w:t>
      </w:r>
      <w:proofErr w:type="spellEnd"/>
      <w:r w:rsidRPr="003F7630">
        <w:rPr>
          <w:rFonts w:cstheme="minorHAnsi"/>
          <w:color w:val="000000"/>
          <w:szCs w:val="22"/>
        </w:rPr>
        <w:t xml:space="preserve"> y reconstrucción. Estas acciones tienen el propósito explícito de contribuir a la seguridad, el bienestar y calidad de vida de las personas y al desarrollo sostenible. (Numeral 11 del artículo 4 de la Ley 1523/12).</w:t>
      </w:r>
    </w:p>
    <w:p w:rsidR="007F6789" w:rsidRPr="003F7630" w:rsidRDefault="007F6789" w:rsidP="007F6789">
      <w:pPr>
        <w:tabs>
          <w:tab w:val="left" w:pos="426"/>
          <w:tab w:val="left" w:pos="993"/>
        </w:tabs>
        <w:rPr>
          <w:rFonts w:cstheme="minorHAnsi"/>
          <w:color w:val="000000"/>
          <w:szCs w:val="22"/>
          <w:u w:val="single"/>
        </w:rPr>
      </w:pPr>
    </w:p>
    <w:p w:rsidR="007F6789" w:rsidRPr="003F7630" w:rsidRDefault="007F6789" w:rsidP="007F6789">
      <w:pPr>
        <w:tabs>
          <w:tab w:val="left" w:pos="426"/>
          <w:tab w:val="left" w:pos="993"/>
        </w:tabs>
        <w:rPr>
          <w:rFonts w:cstheme="minorHAnsi"/>
          <w:color w:val="000000"/>
          <w:szCs w:val="22"/>
        </w:rPr>
      </w:pPr>
      <w:r w:rsidRPr="003F7630">
        <w:rPr>
          <w:rFonts w:cstheme="minorHAnsi"/>
          <w:color w:val="000000"/>
          <w:szCs w:val="22"/>
          <w:u w:val="single"/>
        </w:rPr>
        <w:t>Mitigación del riesgo:</w:t>
      </w:r>
      <w:r w:rsidRPr="003F7630">
        <w:rPr>
          <w:rFonts w:cstheme="minorHAnsi"/>
          <w:color w:val="000000"/>
          <w:szCs w:val="22"/>
        </w:rPr>
        <w:t xml:space="preserve"> medidas de intervención prescriptiva o correctiva dirigidas a reducir o disminuir los daños y pérdidas que se puedan presentar a través de reglamentos de seguridad y proyectos de inversión pública o privada cuyo objetivo es reducir las condiciones de amenaza, cuando sea posible, y la vulnerabilidad existente. (Numeral 16 del artículo 4 de la Ley 1523/12).</w:t>
      </w:r>
    </w:p>
    <w:p w:rsidR="007F6789" w:rsidRPr="003F7630" w:rsidRDefault="007F6789" w:rsidP="007F678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hanging="425"/>
        <w:rPr>
          <w:rFonts w:cstheme="minorHAnsi"/>
          <w:color w:val="000000"/>
          <w:szCs w:val="22"/>
        </w:rPr>
      </w:pPr>
    </w:p>
    <w:p w:rsidR="007F6789" w:rsidRPr="003F7630" w:rsidRDefault="007F6789" w:rsidP="007F6789">
      <w:pPr>
        <w:tabs>
          <w:tab w:val="left" w:pos="426"/>
          <w:tab w:val="left" w:pos="993"/>
        </w:tabs>
        <w:rPr>
          <w:rFonts w:cstheme="minorHAnsi"/>
          <w:color w:val="000000"/>
          <w:szCs w:val="22"/>
        </w:rPr>
      </w:pPr>
      <w:r w:rsidRPr="003F7630">
        <w:rPr>
          <w:rFonts w:cstheme="minorHAnsi"/>
          <w:color w:val="000000"/>
          <w:szCs w:val="22"/>
          <w:u w:val="single"/>
        </w:rPr>
        <w:t>Manejo de desastres</w:t>
      </w:r>
      <w:r w:rsidRPr="003F7630">
        <w:rPr>
          <w:rFonts w:cstheme="minorHAnsi"/>
          <w:color w:val="000000"/>
          <w:szCs w:val="22"/>
        </w:rPr>
        <w:t xml:space="preserve">: Es el proceso de la gestión del riesgo compuesto por la preparación para la respuesta a emergencias, la preparación para la recuperación </w:t>
      </w:r>
      <w:proofErr w:type="spellStart"/>
      <w:r w:rsidRPr="003F7630">
        <w:rPr>
          <w:rFonts w:cstheme="minorHAnsi"/>
          <w:color w:val="000000"/>
          <w:szCs w:val="22"/>
        </w:rPr>
        <w:t>posdesastre</w:t>
      </w:r>
      <w:proofErr w:type="spellEnd"/>
      <w:r w:rsidRPr="003F7630">
        <w:rPr>
          <w:rFonts w:cstheme="minorHAnsi"/>
          <w:color w:val="000000"/>
          <w:szCs w:val="22"/>
        </w:rPr>
        <w:t>, la ejecución de dicha respuesta y la ejecución de la respectiva recuperación, entiéndase: rehabilitación y recuperación. (Numeral 15 del artículo 4 de la Ley 1523/12).</w:t>
      </w:r>
    </w:p>
    <w:p w:rsidR="007F6789" w:rsidRPr="003F7630" w:rsidRDefault="007F6789" w:rsidP="007F6789">
      <w:pPr>
        <w:tabs>
          <w:tab w:val="left" w:pos="426"/>
          <w:tab w:val="left" w:pos="993"/>
        </w:tabs>
        <w:rPr>
          <w:rFonts w:cstheme="minorHAnsi"/>
          <w:color w:val="000000"/>
          <w:szCs w:val="22"/>
          <w:u w:val="single"/>
        </w:rPr>
      </w:pPr>
    </w:p>
    <w:p w:rsidR="007F6789" w:rsidRPr="003F7630" w:rsidRDefault="007F6789" w:rsidP="007F6789">
      <w:pPr>
        <w:tabs>
          <w:tab w:val="left" w:pos="426"/>
          <w:tab w:val="left" w:pos="993"/>
        </w:tabs>
        <w:rPr>
          <w:rFonts w:cstheme="minorHAnsi"/>
          <w:color w:val="000000"/>
          <w:szCs w:val="22"/>
        </w:rPr>
      </w:pPr>
      <w:r w:rsidRPr="003F7630">
        <w:rPr>
          <w:rFonts w:cstheme="minorHAnsi"/>
          <w:color w:val="000000"/>
          <w:szCs w:val="22"/>
          <w:u w:val="single"/>
        </w:rPr>
        <w:t>Plan de Acción Específico de la Respuesta</w:t>
      </w:r>
      <w:r w:rsidRPr="006D6653">
        <w:rPr>
          <w:rFonts w:cstheme="minorHAnsi"/>
          <w:color w:val="000000"/>
          <w:szCs w:val="22"/>
        </w:rPr>
        <w:t xml:space="preserve">: </w:t>
      </w:r>
      <w:r>
        <w:rPr>
          <w:rFonts w:cstheme="minorHAnsi"/>
          <w:color w:val="000000"/>
          <w:szCs w:val="22"/>
        </w:rPr>
        <w:t>R</w:t>
      </w:r>
      <w:r w:rsidRPr="003F7630">
        <w:rPr>
          <w:rFonts w:cstheme="minorHAnsi"/>
          <w:color w:val="000000"/>
          <w:szCs w:val="22"/>
        </w:rPr>
        <w:t>eúne el conjunto de acciones de planificación, organización y de gestión para las fases de preparación y atención de la emergencia, con miras a proteger los derechos y las condiciones de calidad de vida de los habitantes de la ciudad y contener la extensión de sus efectos en el mediano y largo plazo. (UNGRD. 2016).</w:t>
      </w:r>
    </w:p>
    <w:p w:rsidR="007F6789" w:rsidRPr="003F7630" w:rsidRDefault="007F6789" w:rsidP="007F6789">
      <w:pPr>
        <w:tabs>
          <w:tab w:val="left" w:pos="426"/>
          <w:tab w:val="left" w:pos="993"/>
        </w:tabs>
        <w:rPr>
          <w:rFonts w:cstheme="minorHAnsi"/>
          <w:color w:val="000000"/>
          <w:szCs w:val="22"/>
        </w:rPr>
      </w:pPr>
    </w:p>
    <w:p w:rsidR="007F6789" w:rsidRPr="003F7630" w:rsidRDefault="007F6789" w:rsidP="007F6789">
      <w:pPr>
        <w:tabs>
          <w:tab w:val="left" w:pos="426"/>
          <w:tab w:val="left" w:pos="993"/>
        </w:tabs>
        <w:rPr>
          <w:rFonts w:cstheme="minorHAnsi"/>
          <w:color w:val="000000"/>
          <w:szCs w:val="22"/>
        </w:rPr>
      </w:pPr>
      <w:r w:rsidRPr="003F7630">
        <w:rPr>
          <w:rFonts w:cstheme="minorHAnsi"/>
          <w:color w:val="000000"/>
          <w:szCs w:val="22"/>
          <w:u w:val="single"/>
        </w:rPr>
        <w:lastRenderedPageBreak/>
        <w:t xml:space="preserve">Prevención del riesgo: </w:t>
      </w:r>
      <w:r w:rsidRPr="003F7630">
        <w:rPr>
          <w:rFonts w:cstheme="minorHAnsi"/>
          <w:color w:val="000000"/>
          <w:szCs w:val="22"/>
        </w:rPr>
        <w:t>medidas y acciones de intervención restrictiva o prospectiva dispuestas con anticipación con el fin de evitar que se genere riesgo. Puede enfocarse a evitar o neutralizar la amenaza o la exposición y la vulnerabilidad ante la misma en forma definitiva para impedir que se genere nuevo riesgo. (Numeral 18 del artículo 4 de la Ley 1523/12).</w:t>
      </w:r>
    </w:p>
    <w:p w:rsidR="007F6789" w:rsidRPr="003F7630" w:rsidRDefault="007F6789" w:rsidP="007F6789">
      <w:pPr>
        <w:tabs>
          <w:tab w:val="left" w:pos="426"/>
          <w:tab w:val="left" w:pos="993"/>
        </w:tabs>
        <w:rPr>
          <w:rFonts w:cstheme="minorHAnsi"/>
          <w:color w:val="000000"/>
          <w:szCs w:val="22"/>
        </w:rPr>
      </w:pPr>
    </w:p>
    <w:p w:rsidR="007F6789" w:rsidRPr="003F7630" w:rsidRDefault="007F6789" w:rsidP="007F6789">
      <w:pPr>
        <w:tabs>
          <w:tab w:val="left" w:pos="426"/>
          <w:tab w:val="left" w:pos="993"/>
        </w:tabs>
        <w:rPr>
          <w:rFonts w:cstheme="minorHAnsi"/>
          <w:color w:val="000000"/>
          <w:szCs w:val="22"/>
        </w:rPr>
      </w:pPr>
      <w:r w:rsidRPr="003F7630">
        <w:rPr>
          <w:rFonts w:cstheme="minorHAnsi"/>
          <w:color w:val="000000"/>
          <w:szCs w:val="22"/>
          <w:u w:val="single"/>
        </w:rPr>
        <w:t>Recuperación:</w:t>
      </w:r>
      <w:r w:rsidRPr="003F7630">
        <w:rPr>
          <w:rFonts w:cstheme="minorHAnsi"/>
          <w:color w:val="000000"/>
          <w:szCs w:val="22"/>
        </w:rPr>
        <w:t xml:space="preserve"> Son las acciones para el restablecimiento de las condiciones normales de vida mediante la rehabilitación, reparación o reconstrucción del área afectada, los bienes y servicios interrumpidos o deteriorados y el restablecimiento e impulso del desarrollo económico y social de la comunidad. La recuperación tiene como propósito central evitar la reproducción de las condiciones de riesgo preexistentes en el área o sector afectado. (Numeral 20 del artículo 4 de la Ley 1523/12).</w:t>
      </w:r>
    </w:p>
    <w:p w:rsidR="007F6789" w:rsidRPr="003F7630" w:rsidRDefault="007F6789" w:rsidP="007F6789">
      <w:pPr>
        <w:tabs>
          <w:tab w:val="left" w:pos="426"/>
          <w:tab w:val="left" w:pos="993"/>
        </w:tabs>
        <w:rPr>
          <w:rFonts w:cstheme="minorHAnsi"/>
          <w:color w:val="000000"/>
          <w:szCs w:val="22"/>
        </w:rPr>
      </w:pPr>
    </w:p>
    <w:p w:rsidR="007F6789" w:rsidRPr="003F7630" w:rsidRDefault="007F6789" w:rsidP="007F6789">
      <w:pPr>
        <w:tabs>
          <w:tab w:val="left" w:pos="426"/>
          <w:tab w:val="left" w:pos="993"/>
        </w:tabs>
        <w:rPr>
          <w:rFonts w:cstheme="minorHAnsi"/>
          <w:color w:val="000000"/>
          <w:szCs w:val="22"/>
        </w:rPr>
      </w:pPr>
      <w:r w:rsidRPr="003F7630">
        <w:rPr>
          <w:rFonts w:cstheme="minorHAnsi"/>
          <w:color w:val="000000"/>
          <w:szCs w:val="22"/>
          <w:u w:val="single"/>
        </w:rPr>
        <w:t>Reducción del riesgo:</w:t>
      </w:r>
      <w:r w:rsidRPr="003F7630">
        <w:rPr>
          <w:rFonts w:cstheme="minorHAnsi"/>
          <w:color w:val="000000"/>
          <w:szCs w:val="22"/>
        </w:rPr>
        <w:t xml:space="preserve"> Es el proceso de la gestión del riesgo, está compuesto por la intervención dirigida a modificar o disminuir las condiciones de riesgo existentes, entiéndase: mitigación del riesgo y a evitar nuevo riesgo en el territorio, entiéndase: prevención del riesgo. Son medidas de mitigación y prevención que se adoptan con antelación para reducir la amenaza, la exposición y disminuir la vulnerabilidad de las personas, los medios de subsistencia, los bienes, la infraestructura y los recursos ambientales, para evitar o minimizar los daños y pérdidas en caso de producirse los eventos físicos peligrosos. La reducción del riesgo la componen la intervención correctiva del riesgo existente, la intervención prospectiva de nuevo riesgo y la protección financiera. (Numeral 21 del artículo 4 de la Ley 1523/12).</w:t>
      </w:r>
    </w:p>
    <w:p w:rsidR="007F6789" w:rsidRPr="003F7630" w:rsidRDefault="007F6789" w:rsidP="007F6789">
      <w:pPr>
        <w:widowControl w:val="0"/>
        <w:tabs>
          <w:tab w:val="left" w:pos="426"/>
          <w:tab w:val="left" w:pos="993"/>
        </w:tabs>
        <w:rPr>
          <w:rFonts w:cstheme="minorHAnsi"/>
          <w:color w:val="000000"/>
          <w:szCs w:val="22"/>
          <w:u w:val="single"/>
        </w:rPr>
      </w:pPr>
    </w:p>
    <w:p w:rsidR="007F6789" w:rsidRPr="003F7630" w:rsidRDefault="007F6789" w:rsidP="007F6789">
      <w:pPr>
        <w:widowControl w:val="0"/>
        <w:tabs>
          <w:tab w:val="left" w:pos="426"/>
          <w:tab w:val="left" w:pos="993"/>
        </w:tabs>
        <w:rPr>
          <w:rFonts w:cstheme="minorHAnsi"/>
          <w:color w:val="000000"/>
          <w:szCs w:val="22"/>
        </w:rPr>
      </w:pPr>
      <w:r w:rsidRPr="003F7630">
        <w:rPr>
          <w:rFonts w:cstheme="minorHAnsi"/>
          <w:color w:val="000000"/>
          <w:szCs w:val="22"/>
          <w:u w:val="single"/>
        </w:rPr>
        <w:t>Riesgo de desastres:</w:t>
      </w:r>
      <w:r w:rsidRPr="003F7630">
        <w:rPr>
          <w:rFonts w:cstheme="minorHAnsi"/>
          <w:color w:val="000000"/>
          <w:szCs w:val="22"/>
        </w:rPr>
        <w:t xml:space="preserve"> corresponde a los daños o pérdidas potenciales que pueden presentarse debido a los eventos físicos peligrosos de origen natural, </w:t>
      </w:r>
      <w:proofErr w:type="spellStart"/>
      <w:r w:rsidRPr="003F7630">
        <w:rPr>
          <w:rFonts w:cstheme="minorHAnsi"/>
          <w:color w:val="000000"/>
          <w:szCs w:val="22"/>
        </w:rPr>
        <w:t>socionatural</w:t>
      </w:r>
      <w:proofErr w:type="spellEnd"/>
      <w:r w:rsidRPr="003F7630">
        <w:rPr>
          <w:rFonts w:cstheme="minorHAnsi"/>
          <w:color w:val="000000"/>
          <w:szCs w:val="22"/>
        </w:rPr>
        <w:t xml:space="preserve">, tecnológico, </w:t>
      </w:r>
      <w:proofErr w:type="spellStart"/>
      <w:r w:rsidRPr="003F7630">
        <w:rPr>
          <w:rFonts w:cstheme="minorHAnsi"/>
          <w:color w:val="000000"/>
          <w:szCs w:val="22"/>
        </w:rPr>
        <w:t>biosanitario</w:t>
      </w:r>
      <w:proofErr w:type="spellEnd"/>
      <w:r w:rsidRPr="003F7630">
        <w:rPr>
          <w:rFonts w:cstheme="minorHAnsi"/>
          <w:color w:val="000000"/>
          <w:szCs w:val="22"/>
        </w:rPr>
        <w:t xml:space="preserve"> o humano no intencional, en un período de tiempo específico y que son determinados por la vulnerabilidad de los elementos expuestos; por consiguiente, el riesgo de desastres se deriva de la combinación de la amenaza y la vulnerabilidad.  (Numeral 25 del artículo 4 de la Ley 1523/12).</w:t>
      </w:r>
    </w:p>
    <w:p w:rsidR="007F6789" w:rsidRDefault="007F6789" w:rsidP="007F6789">
      <w:pPr>
        <w:widowControl w:val="0"/>
        <w:tabs>
          <w:tab w:val="left" w:pos="426"/>
          <w:tab w:val="left" w:pos="993"/>
        </w:tabs>
        <w:rPr>
          <w:rFonts w:cstheme="minorHAnsi"/>
          <w:color w:val="000000"/>
          <w:szCs w:val="22"/>
          <w:u w:val="single"/>
        </w:rPr>
      </w:pPr>
    </w:p>
    <w:p w:rsidR="007F6789" w:rsidRPr="003F7630" w:rsidRDefault="007F6789" w:rsidP="007F6789">
      <w:pPr>
        <w:widowControl w:val="0"/>
        <w:tabs>
          <w:tab w:val="left" w:pos="426"/>
          <w:tab w:val="left" w:pos="993"/>
        </w:tabs>
        <w:rPr>
          <w:rFonts w:cstheme="minorHAnsi"/>
          <w:color w:val="000000"/>
          <w:szCs w:val="22"/>
        </w:rPr>
      </w:pPr>
      <w:r w:rsidRPr="003F7630">
        <w:rPr>
          <w:rFonts w:cstheme="minorHAnsi"/>
          <w:color w:val="000000"/>
          <w:szCs w:val="22"/>
          <w:u w:val="single"/>
        </w:rPr>
        <w:t xml:space="preserve">Servicios básicos de respuesta: </w:t>
      </w:r>
      <w:r w:rsidRPr="003F7630">
        <w:rPr>
          <w:rFonts w:cstheme="minorHAnsi"/>
          <w:color w:val="000000"/>
          <w:szCs w:val="22"/>
        </w:rPr>
        <w:t>Corresponden a los siguientes 16: Accesibilidad y transporte, salud, búsqueda y rescate, extinción de incendios, manejo de materiales y/o residuos peligrosos, evacuación asistida, ayuda humanitaria, alojamientos temporales, agua potable, energía y gas, telecomunicaciones para la comunidad, restablecimiento de contactos familiares, saneamiento básico, manejo de escombros y obras de emergencia, manejo de cadáveres y seguridad y convivencia. (Instituto Distrital de Gestión de Riesgos y Cambio Climático - IDIGER, 2017).</w:t>
      </w:r>
    </w:p>
    <w:p w:rsidR="007F6789" w:rsidRPr="003F7630" w:rsidRDefault="007F6789" w:rsidP="007F6789">
      <w:pPr>
        <w:widowControl w:val="0"/>
        <w:tabs>
          <w:tab w:val="left" w:pos="426"/>
          <w:tab w:val="left" w:pos="993"/>
        </w:tabs>
        <w:rPr>
          <w:rFonts w:cstheme="minorHAnsi"/>
          <w:color w:val="000000"/>
          <w:szCs w:val="22"/>
          <w:u w:val="single"/>
        </w:rPr>
      </w:pPr>
    </w:p>
    <w:p w:rsidR="007F6789" w:rsidRPr="003F7630" w:rsidRDefault="007F6789" w:rsidP="007F67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theme="minorHAnsi"/>
          <w:color w:val="000000"/>
          <w:szCs w:val="22"/>
        </w:rPr>
      </w:pPr>
      <w:r w:rsidRPr="003F7630">
        <w:rPr>
          <w:rFonts w:cstheme="minorHAnsi"/>
          <w:color w:val="000000"/>
          <w:szCs w:val="22"/>
          <w:u w:val="single"/>
        </w:rPr>
        <w:t>Evento forestal:</w:t>
      </w:r>
      <w:r w:rsidRPr="003F7630">
        <w:rPr>
          <w:rFonts w:eastAsia="Times New Roman" w:cstheme="minorHAnsi"/>
          <w:color w:val="000000"/>
          <w:szCs w:val="22"/>
        </w:rPr>
        <w:t> Cualquier evento con fuego sin control que afecta zonas con cobertura vegetal y ocasiona daños ambientales, económicos y sociales y que puede ser de tres tipos: quema, conato forestal e incendio forestal</w:t>
      </w:r>
      <w:r w:rsidRPr="003F7630">
        <w:rPr>
          <w:rStyle w:val="Refdenotaalpie"/>
          <w:rFonts w:eastAsia="Times New Roman" w:cstheme="minorHAnsi"/>
          <w:color w:val="000000"/>
          <w:szCs w:val="22"/>
        </w:rPr>
        <w:footnoteReference w:id="1"/>
      </w:r>
      <w:r w:rsidRPr="003F7630">
        <w:rPr>
          <w:rFonts w:eastAsia="Times New Roman" w:cstheme="minorHAnsi"/>
          <w:color w:val="000000"/>
          <w:szCs w:val="22"/>
        </w:rPr>
        <w:t xml:space="preserve">. </w:t>
      </w:r>
    </w:p>
    <w:p w:rsidR="007F6789" w:rsidRPr="003F7630" w:rsidRDefault="007F6789" w:rsidP="007F6789">
      <w:pPr>
        <w:rPr>
          <w:rFonts w:eastAsia="Times New Roman" w:cstheme="minorHAnsi"/>
          <w:color w:val="000000"/>
          <w:szCs w:val="22"/>
        </w:rPr>
      </w:pPr>
    </w:p>
    <w:p w:rsidR="007F6789" w:rsidRPr="003F7630" w:rsidRDefault="007F6789" w:rsidP="007F67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theme="minorHAnsi"/>
          <w:color w:val="000000"/>
          <w:szCs w:val="22"/>
        </w:rPr>
      </w:pPr>
      <w:r w:rsidRPr="003F7630">
        <w:rPr>
          <w:rFonts w:cstheme="minorHAnsi"/>
          <w:color w:val="000000"/>
          <w:szCs w:val="22"/>
          <w:u w:val="single"/>
        </w:rPr>
        <w:t>Quema:</w:t>
      </w:r>
      <w:r w:rsidRPr="003F7630">
        <w:rPr>
          <w:rFonts w:eastAsia="Times New Roman" w:cstheme="minorHAnsi"/>
          <w:color w:val="000000"/>
          <w:szCs w:val="22"/>
        </w:rPr>
        <w:t> Fuego con o sin control que puede tener un límite preestablecido, que es originado por la actividad humana y consume cualquier material combustible y que puede afectar zonas con cobertura vegetal</w:t>
      </w:r>
      <w:r w:rsidRPr="003F7630">
        <w:rPr>
          <w:rStyle w:val="Refdenotaalpie"/>
          <w:rFonts w:eastAsia="Times New Roman" w:cstheme="minorHAnsi"/>
          <w:color w:val="000000"/>
          <w:szCs w:val="22"/>
        </w:rPr>
        <w:footnoteReference w:id="2"/>
      </w:r>
      <w:r w:rsidRPr="003F7630">
        <w:rPr>
          <w:rFonts w:eastAsia="Times New Roman" w:cstheme="minorHAnsi"/>
          <w:color w:val="000000"/>
          <w:szCs w:val="22"/>
        </w:rPr>
        <w:t>.</w:t>
      </w:r>
    </w:p>
    <w:p w:rsidR="007F6789" w:rsidRPr="003F7630" w:rsidRDefault="007F6789" w:rsidP="007F67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theme="minorHAnsi"/>
          <w:color w:val="000000"/>
          <w:szCs w:val="22"/>
        </w:rPr>
      </w:pPr>
    </w:p>
    <w:p w:rsidR="007F6789" w:rsidRPr="003F7630" w:rsidRDefault="007F6789" w:rsidP="007F67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theme="minorHAnsi"/>
          <w:color w:val="000000"/>
          <w:szCs w:val="22"/>
        </w:rPr>
      </w:pPr>
      <w:r w:rsidRPr="003F7630">
        <w:rPr>
          <w:rFonts w:cstheme="minorHAnsi"/>
          <w:color w:val="000000"/>
          <w:szCs w:val="22"/>
          <w:u w:val="single"/>
        </w:rPr>
        <w:lastRenderedPageBreak/>
        <w:t>Conato forestal:</w:t>
      </w:r>
      <w:r w:rsidRPr="003F7630">
        <w:rPr>
          <w:rFonts w:eastAsia="Times New Roman" w:cstheme="minorHAnsi"/>
          <w:color w:val="000000"/>
          <w:szCs w:val="22"/>
        </w:rPr>
        <w:t> Es el fuego que se propaga sin control y consume coberturas vegetales de áreas rurales o componentes de la estructura ecológica principal cuya área de afectación es de hasta media hectárea</w:t>
      </w:r>
      <w:r w:rsidRPr="003F7630">
        <w:rPr>
          <w:rStyle w:val="Refdenotaalpie"/>
          <w:rFonts w:eastAsia="Times New Roman" w:cstheme="minorHAnsi"/>
          <w:color w:val="000000"/>
          <w:szCs w:val="22"/>
        </w:rPr>
        <w:footnoteReference w:id="3"/>
      </w:r>
      <w:r w:rsidRPr="003F7630">
        <w:rPr>
          <w:rFonts w:eastAsia="Times New Roman" w:cstheme="minorHAnsi"/>
          <w:color w:val="000000"/>
          <w:szCs w:val="22"/>
        </w:rPr>
        <w:t>.</w:t>
      </w:r>
    </w:p>
    <w:p w:rsidR="007F6789" w:rsidRPr="003F7630" w:rsidRDefault="007F6789" w:rsidP="007F6789">
      <w:pPr>
        <w:rPr>
          <w:rFonts w:eastAsia="Times New Roman" w:cstheme="minorHAnsi"/>
          <w:color w:val="000000"/>
          <w:szCs w:val="22"/>
        </w:rPr>
      </w:pPr>
    </w:p>
    <w:p w:rsidR="007F6789" w:rsidRPr="003F7630" w:rsidRDefault="007F6789" w:rsidP="007F67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theme="minorHAnsi"/>
          <w:color w:val="000000"/>
          <w:szCs w:val="22"/>
        </w:rPr>
      </w:pPr>
      <w:r w:rsidRPr="003F7630">
        <w:rPr>
          <w:rFonts w:cstheme="minorHAnsi"/>
          <w:color w:val="000000"/>
          <w:szCs w:val="22"/>
          <w:u w:val="single"/>
        </w:rPr>
        <w:t>Incendio forestal - IF:</w:t>
      </w:r>
      <w:r w:rsidRPr="003F7630">
        <w:rPr>
          <w:rFonts w:eastAsia="Times New Roman" w:cstheme="minorHAnsi"/>
          <w:color w:val="000000"/>
          <w:szCs w:val="22"/>
        </w:rPr>
        <w:t> Es el fuego que se propaga sin control y que consume coberturas vegetales de áreas rurales o componentes de la estructura ecológica principal cuya área de afectación es superior a media hectárea. Existen tres tipos: Superficiales, Subterráneos y de Copa.</w:t>
      </w:r>
      <w:r w:rsidRPr="003F7630">
        <w:rPr>
          <w:rStyle w:val="Refdenotaalpie"/>
          <w:rFonts w:eastAsia="Times New Roman" w:cstheme="minorHAnsi"/>
          <w:color w:val="000000"/>
          <w:szCs w:val="22"/>
        </w:rPr>
        <w:footnoteReference w:id="4"/>
      </w:r>
    </w:p>
    <w:p w:rsidR="001773D1" w:rsidRDefault="004C18DA"/>
    <w:sectPr w:rsidR="001773D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8DA" w:rsidRDefault="004C18DA" w:rsidP="007F6789">
      <w:r>
        <w:separator/>
      </w:r>
    </w:p>
  </w:endnote>
  <w:endnote w:type="continuationSeparator" w:id="0">
    <w:p w:rsidR="004C18DA" w:rsidRDefault="004C18DA" w:rsidP="007F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8DA" w:rsidRDefault="004C18DA" w:rsidP="007F6789">
      <w:r>
        <w:separator/>
      </w:r>
    </w:p>
  </w:footnote>
  <w:footnote w:type="continuationSeparator" w:id="0">
    <w:p w:rsidR="004C18DA" w:rsidRDefault="004C18DA" w:rsidP="007F6789">
      <w:r>
        <w:continuationSeparator/>
      </w:r>
    </w:p>
  </w:footnote>
  <w:footnote w:id="1">
    <w:p w:rsidR="007F6789" w:rsidRPr="00A12C50" w:rsidRDefault="007F6789" w:rsidP="007F6789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A12C50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A12C50">
        <w:rPr>
          <w:rFonts w:asciiTheme="minorHAnsi" w:hAnsiTheme="minorHAnsi" w:cstheme="minorHAnsi"/>
          <w:sz w:val="16"/>
          <w:szCs w:val="16"/>
        </w:rPr>
        <w:t xml:space="preserve"> </w:t>
      </w:r>
      <w:r w:rsidRPr="00A12C50">
        <w:rPr>
          <w:rFonts w:asciiTheme="minorHAnsi" w:eastAsia="Times New Roman" w:hAnsiTheme="minorHAnsi" w:cstheme="minorHAnsi"/>
          <w:color w:val="000000"/>
          <w:sz w:val="16"/>
          <w:szCs w:val="16"/>
        </w:rPr>
        <w:t>S</w:t>
      </w:r>
      <w:r w:rsidRPr="00A12C50">
        <w:rPr>
          <w:rFonts w:asciiTheme="minorHAnsi" w:hAnsiTheme="minorHAnsi" w:cstheme="minorHAnsi"/>
          <w:sz w:val="16"/>
          <w:szCs w:val="16"/>
        </w:rPr>
        <w:t>egún la Comisión Distrital para la Prevención y Mitigación de Incendios Forestales. (2019)</w:t>
      </w:r>
    </w:p>
  </w:footnote>
  <w:footnote w:id="2">
    <w:p w:rsidR="007F6789" w:rsidRPr="00A12C50" w:rsidRDefault="007F6789" w:rsidP="007F6789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A12C50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A12C50">
        <w:rPr>
          <w:rFonts w:asciiTheme="minorHAnsi" w:hAnsiTheme="minorHAnsi" w:cstheme="minorHAnsi"/>
          <w:sz w:val="16"/>
          <w:szCs w:val="16"/>
        </w:rPr>
        <w:t xml:space="preserve"> IBÍD. (2)</w:t>
      </w:r>
    </w:p>
  </w:footnote>
  <w:footnote w:id="3">
    <w:p w:rsidR="007F6789" w:rsidRPr="00A12C50" w:rsidRDefault="007F6789" w:rsidP="007F6789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A12C50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A12C50">
        <w:rPr>
          <w:rFonts w:asciiTheme="minorHAnsi" w:hAnsiTheme="minorHAnsi" w:cstheme="minorHAnsi"/>
          <w:sz w:val="16"/>
          <w:szCs w:val="16"/>
        </w:rPr>
        <w:t xml:space="preserve"> IBÍD. (2)</w:t>
      </w:r>
    </w:p>
  </w:footnote>
  <w:footnote w:id="4">
    <w:p w:rsidR="007F6789" w:rsidRPr="00A12C50" w:rsidRDefault="007F6789" w:rsidP="007F6789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A12C50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A12C50">
        <w:rPr>
          <w:rFonts w:asciiTheme="minorHAnsi" w:hAnsiTheme="minorHAnsi" w:cstheme="minorHAnsi"/>
          <w:sz w:val="16"/>
          <w:szCs w:val="16"/>
        </w:rPr>
        <w:t xml:space="preserve"> IBÍD. (2)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858" w:rsidRDefault="00984858">
    <w:pPr>
      <w:pStyle w:val="Encabezado"/>
    </w:pPr>
    <w:r>
      <w:rPr>
        <w:noProof/>
        <w:color w:val="000000"/>
        <w:lang w:eastAsia="es-CO"/>
      </w:rPr>
      <w:drawing>
        <wp:anchor distT="0" distB="0" distL="114300" distR="114300" simplePos="0" relativeHeight="251659264" behindDoc="1" locked="0" layoutInCell="0" allowOverlap="1" wp14:anchorId="181502D9" wp14:editId="791AF52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4940" cy="10057956"/>
          <wp:effectExtent l="0" t="0" r="0" b="63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z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4940" cy="100579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B29AC"/>
    <w:multiLevelType w:val="multilevel"/>
    <w:tmpl w:val="BEDC7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89"/>
    <w:rsid w:val="001607CA"/>
    <w:rsid w:val="00183744"/>
    <w:rsid w:val="00223B66"/>
    <w:rsid w:val="00340586"/>
    <w:rsid w:val="004C18DA"/>
    <w:rsid w:val="005A0DD9"/>
    <w:rsid w:val="006B6552"/>
    <w:rsid w:val="007F6789"/>
    <w:rsid w:val="008B29E0"/>
    <w:rsid w:val="00950592"/>
    <w:rsid w:val="00974474"/>
    <w:rsid w:val="00984858"/>
    <w:rsid w:val="00C66295"/>
    <w:rsid w:val="00E0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CBA1D-3357-4C7F-B145-DB7FE6E3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789"/>
    <w:pPr>
      <w:spacing w:after="0" w:line="240" w:lineRule="auto"/>
      <w:jc w:val="both"/>
    </w:pPr>
    <w:rPr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84858"/>
    <w:pPr>
      <w:keepNext/>
      <w:keepLines/>
      <w:spacing w:before="240"/>
      <w:outlineLvl w:val="0"/>
    </w:pPr>
    <w:rPr>
      <w:rFonts w:eastAsiaTheme="majorEastAsia" w:cstheme="majorBidi"/>
      <w:b/>
      <w:i/>
      <w:smallCaps/>
      <w:color w:val="385623" w:themeColor="accent6" w:themeShade="80"/>
      <w:sz w:val="26"/>
      <w:szCs w:val="32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6789"/>
    <w:pPr>
      <w:keepNext/>
      <w:keepLines/>
      <w:spacing w:before="40"/>
      <w:outlineLvl w:val="1"/>
    </w:pPr>
    <w:rPr>
      <w:rFonts w:eastAsiaTheme="majorEastAsia" w:cstheme="majorBidi"/>
      <w:b/>
      <w:smallCaps/>
      <w:color w:val="385623" w:themeColor="accent6" w:themeShade="80"/>
      <w:sz w:val="24"/>
      <w:szCs w:val="2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F6789"/>
    <w:rPr>
      <w:rFonts w:eastAsiaTheme="majorEastAsia" w:cstheme="majorBidi"/>
      <w:b/>
      <w:smallCaps/>
      <w:color w:val="385623" w:themeColor="accent6" w:themeShade="80"/>
      <w:sz w:val="24"/>
      <w:szCs w:val="26"/>
      <w:lang w:val="es-ES_tradnl" w:eastAsia="es-ES_tradnl"/>
    </w:rPr>
  </w:style>
  <w:style w:type="paragraph" w:styleId="Textonotapie">
    <w:name w:val="footnote text"/>
    <w:aliases w:val="Nota al pie"/>
    <w:basedOn w:val="Normal"/>
    <w:link w:val="TextonotapieCar"/>
    <w:uiPriority w:val="99"/>
    <w:unhideWhenUsed/>
    <w:rsid w:val="007F6789"/>
    <w:rPr>
      <w:rFonts w:ascii="Arial" w:eastAsia="Arial" w:hAnsi="Arial" w:cs="Arial"/>
      <w:szCs w:val="22"/>
      <w:lang w:eastAsia="es-ES_tradnl"/>
    </w:rPr>
  </w:style>
  <w:style w:type="character" w:customStyle="1" w:styleId="TextonotapieCar">
    <w:name w:val="Texto nota pie Car"/>
    <w:aliases w:val="Nota al pie Car"/>
    <w:basedOn w:val="Fuentedeprrafopredeter"/>
    <w:link w:val="Textonotapie"/>
    <w:uiPriority w:val="99"/>
    <w:rsid w:val="007F6789"/>
    <w:rPr>
      <w:rFonts w:ascii="Arial" w:eastAsia="Arial" w:hAnsi="Arial" w:cs="Arial"/>
      <w:lang w:eastAsia="es-ES_tradnl"/>
    </w:rPr>
  </w:style>
  <w:style w:type="character" w:styleId="Refdenotaalpie">
    <w:name w:val="footnote reference"/>
    <w:basedOn w:val="Fuentedeprrafopredeter"/>
    <w:uiPriority w:val="99"/>
    <w:unhideWhenUsed/>
    <w:rsid w:val="007F678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848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4858"/>
    <w:rPr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848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858"/>
    <w:rPr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84858"/>
    <w:rPr>
      <w:rFonts w:eastAsiaTheme="majorEastAsia" w:cstheme="majorBidi"/>
      <w:b/>
      <w:i/>
      <w:smallCaps/>
      <w:color w:val="385623" w:themeColor="accent6" w:themeShade="80"/>
      <w:sz w:val="26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Jairo Palacio Vaca</dc:creator>
  <cp:keywords/>
  <dc:description/>
  <cp:lastModifiedBy>Jhon Jairo Palacio Vaca</cp:lastModifiedBy>
  <cp:revision>1</cp:revision>
  <dcterms:created xsi:type="dcterms:W3CDTF">2022-06-29T17:08:00Z</dcterms:created>
  <dcterms:modified xsi:type="dcterms:W3CDTF">2022-06-29T18:10:00Z</dcterms:modified>
</cp:coreProperties>
</file>